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rPr>
          <w:rFonts w:ascii="Times New Roman" w:hAnsi="Times New Roman" w:eastAsia="楷体_GB2312" w:cs="Times New Roman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2"/>
          <w:szCs w:val="32"/>
        </w:rPr>
        <w:t>工会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系统意识形态骨干培训暨工会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新媒体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建设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名额分配表</w:t>
      </w:r>
    </w:p>
    <w:bookmarkEnd w:id="0"/>
    <w:tbl>
      <w:tblPr>
        <w:tblStyle w:val="3"/>
        <w:tblW w:w="851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983"/>
        <w:gridCol w:w="3185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汝州市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中国平煤神马工会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舞钢市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姚孟发电公司工会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宝丰县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舞阳钢铁公司工会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鲁山县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平顶山供电公司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叶县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国电投平顶山发电公司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工会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郏县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江河公司工会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新华区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舞阳矿业工会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卫东区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平东热电工会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湛河区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spacing w:line="280" w:lineRule="exact"/>
              <w:ind w:firstLine="720" w:firstLineChars="300"/>
              <w:jc w:val="both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热力公司工会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ind w:firstLine="240" w:firstLineChars="100"/>
              <w:jc w:val="both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石龙区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平高集团工会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市直工会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新城区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  <w:lang w:val="en-US" w:eastAsia="zh-CN"/>
              </w:rPr>
              <w:t>文教卫工会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建设工会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工交工会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轻纺工会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财贸工会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86人</w:t>
            </w:r>
          </w:p>
        </w:tc>
      </w:tr>
    </w:tbl>
    <w:p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注：各单位主管宣教工作副主席、宣教部长必须参加培训，其余安排基层工会相关工作负责人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735D5"/>
    <w:rsid w:val="7777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2018-10-23T01:49:00Z</dcterms:created>
  <dc:creator>yuan</dc:creator>
  <cp:lastModifiedBy>yuan</cp:lastModifiedBy>
  <dcterms:modified xsi:type="dcterms:W3CDTF">2018-10-23T01:56:12Z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