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rPr>
          <w:rFonts w:hint="eastAsia" w:ascii="仿宋_GB2312" w:hAnsi="仿宋_GB2312" w:eastAsia="仿宋_GB2312"/>
          <w:sz w:val="32"/>
        </w:rPr>
      </w:pPr>
      <w:r>
        <w:rPr>
          <w:rFonts w:hint="eastAsia" w:ascii="仿宋_GB2312" w:hAnsi="仿宋_GB2312" w:eastAsia="仿宋_GB2312"/>
          <w:sz w:val="32"/>
        </w:rPr>
        <w:t>附件</w:t>
      </w:r>
      <w:r>
        <w:rPr>
          <w:rFonts w:hint="eastAsia" w:ascii="仿宋_GB2312" w:hAnsi="仿宋_GB2312" w:eastAsia="仿宋_GB2312"/>
          <w:sz w:val="32"/>
          <w:lang w:val="en-US" w:eastAsia="zh-CN"/>
        </w:rPr>
        <w:t>5</w:t>
      </w:r>
      <w:bookmarkStart w:id="0" w:name="_GoBack"/>
      <w:bookmarkEnd w:id="0"/>
    </w:p>
    <w:tbl>
      <w:tblPr>
        <w:tblStyle w:val="3"/>
        <w:tblW w:w="92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25"/>
        <w:gridCol w:w="6581"/>
        <w:gridCol w:w="1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9270" w:type="dxa"/>
            <w:gridSpan w:val="3"/>
            <w:tcBorders>
              <w:top w:val="nil"/>
              <w:left w:val="nil"/>
              <w:bottom w:val="nil"/>
              <w:right w:val="nil"/>
              <w:tl2br w:val="nil"/>
              <w:tr2bl w:val="nil"/>
            </w:tcBorders>
            <w:vAlign w:val="center"/>
          </w:tcPr>
          <w:p>
            <w:pPr>
              <w:widowControl/>
              <w:spacing w:beforeLines="0" w:afterLines="0"/>
              <w:jc w:val="center"/>
              <w:textAlignment w:val="center"/>
              <w:rPr>
                <w:rFonts w:hint="eastAsia" w:ascii="宋体" w:hAnsi="宋体"/>
                <w:b/>
                <w:color w:val="000000"/>
                <w:sz w:val="48"/>
              </w:rPr>
            </w:pPr>
            <w:r>
              <w:rPr>
                <w:rFonts w:hint="eastAsia" w:ascii="宋体" w:hAnsi="宋体"/>
                <w:b/>
                <w:color w:val="000000"/>
                <w:kern w:val="0"/>
                <w:sz w:val="48"/>
              </w:rPr>
              <w:t>全国“安康杯”竞赛考核评分表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7" w:hRule="atLeast"/>
        </w:trPr>
        <w:tc>
          <w:tcPr>
            <w:tcW w:w="1525" w:type="dxa"/>
            <w:tcBorders>
              <w:top w:val="nil"/>
              <w:left w:val="nil"/>
              <w:bottom w:val="nil"/>
              <w:right w:val="nil"/>
              <w:tl2br w:val="nil"/>
              <w:tr2bl w:val="nil"/>
            </w:tcBorders>
            <w:vAlign w:val="bottom"/>
          </w:tcPr>
          <w:p>
            <w:pPr>
              <w:widowControl/>
              <w:spacing w:beforeLines="0" w:afterLines="0"/>
              <w:jc w:val="left"/>
              <w:textAlignment w:val="bottom"/>
              <w:rPr>
                <w:rFonts w:hint="eastAsia" w:ascii="仿宋_GB2312" w:hAnsi="宋体" w:eastAsia="仿宋_GB2312"/>
                <w:b/>
                <w:color w:val="000000"/>
                <w:sz w:val="28"/>
              </w:rPr>
            </w:pPr>
            <w:r>
              <w:rPr>
                <w:rFonts w:hint="eastAsia" w:ascii="仿宋_GB2312" w:hAnsi="宋体" w:eastAsia="仿宋_GB2312"/>
                <w:b/>
                <w:color w:val="000000"/>
                <w:kern w:val="0"/>
                <w:sz w:val="28"/>
              </w:rPr>
              <w:t>考核单位 ：</w:t>
            </w:r>
          </w:p>
        </w:tc>
        <w:tc>
          <w:tcPr>
            <w:tcW w:w="6581" w:type="dxa"/>
            <w:tcBorders>
              <w:top w:val="nil"/>
              <w:left w:val="nil"/>
              <w:bottom w:val="nil"/>
              <w:right w:val="nil"/>
              <w:tl2br w:val="nil"/>
              <w:tr2bl w:val="nil"/>
            </w:tcBorders>
            <w:vAlign w:val="bottom"/>
          </w:tcPr>
          <w:p>
            <w:pPr>
              <w:widowControl/>
              <w:spacing w:beforeLines="0" w:afterLines="0"/>
              <w:ind w:left="1687" w:hanging="1687" w:hangingChars="600"/>
              <w:jc w:val="left"/>
              <w:textAlignment w:val="bottom"/>
              <w:rPr>
                <w:rFonts w:hint="eastAsia" w:ascii="仿宋_GB2312" w:hAnsi="宋体" w:eastAsia="仿宋_GB2312"/>
                <w:b/>
                <w:color w:val="000000"/>
                <w:sz w:val="28"/>
              </w:rPr>
            </w:pPr>
            <w:r>
              <w:rPr>
                <w:rFonts w:hint="eastAsia" w:ascii="仿宋_GB2312" w:hAnsi="宋体" w:eastAsia="仿宋_GB2312"/>
                <w:b/>
                <w:color w:val="000000"/>
                <w:kern w:val="0"/>
                <w:sz w:val="28"/>
              </w:rPr>
              <w:t xml:space="preserve">                                                 考核时间：     年    月    日</w:t>
            </w:r>
          </w:p>
        </w:tc>
        <w:tc>
          <w:tcPr>
            <w:tcW w:w="1164" w:type="dxa"/>
            <w:tcBorders>
              <w:top w:val="nil"/>
              <w:left w:val="nil"/>
              <w:bottom w:val="nil"/>
              <w:right w:val="nil"/>
              <w:tl2br w:val="nil"/>
              <w:tr2bl w:val="nil"/>
            </w:tcBorders>
            <w:vAlign w:val="bottom"/>
          </w:tcPr>
          <w:p>
            <w:pPr>
              <w:spacing w:beforeLines="0" w:afterLines="0"/>
              <w:rPr>
                <w:rFonts w:hint="eastAsia" w:ascii="仿宋_GB2312" w:hAnsi="宋体" w:eastAsia="仿宋_GB2312"/>
                <w:b/>
                <w:color w:val="000000"/>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52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textAlignment w:val="center"/>
              <w:rPr>
                <w:rFonts w:hint="eastAsia" w:ascii="宋体" w:hAnsi="宋体"/>
                <w:color w:val="000000"/>
                <w:sz w:val="32"/>
              </w:rPr>
            </w:pPr>
            <w:r>
              <w:rPr>
                <w:rFonts w:hint="eastAsia" w:ascii="宋体" w:hAnsi="宋体"/>
                <w:color w:val="000000"/>
                <w:kern w:val="0"/>
                <w:sz w:val="32"/>
              </w:rPr>
              <w:t>考核项目</w:t>
            </w: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textAlignment w:val="center"/>
              <w:rPr>
                <w:rFonts w:hint="eastAsia" w:ascii="宋体" w:hAnsi="宋体"/>
                <w:color w:val="000000"/>
                <w:sz w:val="32"/>
              </w:rPr>
            </w:pPr>
            <w:r>
              <w:rPr>
                <w:rFonts w:hint="eastAsia" w:ascii="宋体" w:hAnsi="宋体"/>
                <w:color w:val="000000"/>
                <w:kern w:val="0"/>
                <w:sz w:val="32"/>
              </w:rPr>
              <w:t xml:space="preserve">考核内容 </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jc w:val="center"/>
              <w:textAlignment w:val="center"/>
              <w:rPr>
                <w:rFonts w:hint="eastAsia" w:ascii="宋体" w:hAnsi="宋体"/>
                <w:color w:val="000000"/>
                <w:sz w:val="32"/>
              </w:rPr>
            </w:pPr>
            <w:r>
              <w:rPr>
                <w:rFonts w:hint="eastAsia" w:ascii="宋体" w:hAnsi="宋体"/>
                <w:color w:val="000000"/>
                <w:kern w:val="0"/>
                <w:sz w:val="32"/>
              </w:rPr>
              <w:t xml:space="preserve">得分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52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center"/>
              <w:textAlignment w:val="center"/>
              <w:rPr>
                <w:rFonts w:hint="eastAsia" w:ascii="仿宋_GB2312" w:hAnsi="宋体" w:eastAsia="仿宋_GB2312"/>
                <w:b/>
                <w:color w:val="000000"/>
                <w:sz w:val="21"/>
              </w:rPr>
            </w:pPr>
            <w:r>
              <w:rPr>
                <w:rFonts w:hint="eastAsia" w:ascii="仿宋_GB2312" w:hAnsi="宋体" w:eastAsia="仿宋_GB2312"/>
                <w:b/>
                <w:color w:val="000000"/>
                <w:kern w:val="0"/>
                <w:sz w:val="21"/>
              </w:rPr>
              <w:t>组织领导</w:t>
            </w:r>
            <w:r>
              <w:rPr>
                <w:rFonts w:hint="eastAsia" w:ascii="仿宋_GB2312" w:hAnsi="宋体" w:eastAsia="仿宋_GB2312"/>
                <w:b/>
                <w:color w:val="000000"/>
                <w:kern w:val="0"/>
                <w:sz w:val="21"/>
              </w:rPr>
              <w:br w:type="textWrapping"/>
            </w:r>
            <w:r>
              <w:rPr>
                <w:rFonts w:hint="eastAsia" w:ascii="仿宋_GB2312" w:hAnsi="宋体" w:eastAsia="仿宋_GB2312"/>
                <w:b/>
                <w:color w:val="000000"/>
                <w:kern w:val="0"/>
                <w:sz w:val="21"/>
              </w:rPr>
              <w:t>（7分）</w:t>
            </w: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竞赛组织机构健全（3分），主要领导任“安康杯”竞赛组委会主任（2分）。</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15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line="400" w:lineRule="exact"/>
              <w:jc w:val="center"/>
              <w:rPr>
                <w:rFonts w:hint="eastAsia" w:ascii="仿宋_GB2312" w:hAnsi="宋体" w:eastAsia="仿宋_GB2312"/>
                <w:b/>
                <w:color w:val="000000"/>
                <w:sz w:val="21"/>
              </w:rPr>
            </w:pP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竞赛活动有计划、部署、方案、组织、检查、评比、表彰、奖励。（2分）</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52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center"/>
              <w:textAlignment w:val="center"/>
              <w:rPr>
                <w:rFonts w:hint="eastAsia" w:ascii="仿宋_GB2312" w:hAnsi="宋体" w:eastAsia="仿宋_GB2312"/>
                <w:b/>
                <w:color w:val="000000"/>
                <w:sz w:val="21"/>
              </w:rPr>
            </w:pPr>
            <w:r>
              <w:rPr>
                <w:rFonts w:hint="eastAsia" w:ascii="仿宋_GB2312" w:hAnsi="宋体" w:eastAsia="仿宋_GB2312"/>
                <w:b/>
                <w:color w:val="000000"/>
                <w:kern w:val="0"/>
                <w:sz w:val="21"/>
              </w:rPr>
              <w:t xml:space="preserve">组织开展安全生产法规学习、培训、教育、宣传（18分） </w:t>
            </w: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 xml:space="preserve">深入宣传习近平总书记关于安全生产工作的重要思想和《劳动法》《工会法》《安全生产法》《职业病防治法》《中共中央 国务院关于推进安全生产领域改革发展的意见》等相关法律法规和政策。（5分） </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5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line="400" w:lineRule="exact"/>
              <w:jc w:val="center"/>
              <w:rPr>
                <w:rFonts w:hint="eastAsia" w:ascii="仿宋_GB2312" w:hAnsi="宋体" w:eastAsia="仿宋_GB2312"/>
                <w:b/>
                <w:color w:val="000000"/>
                <w:sz w:val="21"/>
              </w:rPr>
            </w:pP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组织开展安全生产和职业健康业务知识培训。（3分）</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15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line="400" w:lineRule="exact"/>
              <w:jc w:val="center"/>
              <w:rPr>
                <w:rFonts w:hint="eastAsia" w:ascii="仿宋_GB2312" w:hAnsi="宋体" w:eastAsia="仿宋_GB2312"/>
                <w:b/>
                <w:color w:val="000000"/>
                <w:sz w:val="21"/>
              </w:rPr>
            </w:pP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把安全文化建设融入企业整体文化建设中，有针对性开展宣传培训、操作演练、亲情教育、警示教育等安全文化活动。（4分）</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line="400" w:lineRule="exact"/>
              <w:jc w:val="center"/>
              <w:rPr>
                <w:rFonts w:hint="eastAsia" w:ascii="仿宋_GB2312" w:hAnsi="宋体" w:eastAsia="仿宋_GB2312"/>
                <w:b/>
                <w:color w:val="000000"/>
                <w:sz w:val="21"/>
              </w:rPr>
            </w:pP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建立安全卫生宣传教室或安全文化长廊，悬挂安全卫生警示牌、提示卡，张贴安全卫生宣传画、横幅、标语、警示语等。（3分）</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15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line="400" w:lineRule="exact"/>
              <w:jc w:val="center"/>
              <w:rPr>
                <w:rFonts w:hint="eastAsia" w:ascii="仿宋_GB2312" w:hAnsi="宋体" w:eastAsia="仿宋_GB2312"/>
                <w:b/>
                <w:color w:val="000000"/>
                <w:sz w:val="21"/>
              </w:rPr>
            </w:pP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积极参加全国“安全生产月”和“安全生产万里行”和《职业病防治法》《安全生产法》宣传周等活动。（3分）</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152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center"/>
              <w:textAlignment w:val="center"/>
              <w:rPr>
                <w:rFonts w:hint="eastAsia" w:ascii="仿宋_GB2312" w:hAnsi="宋体" w:eastAsia="仿宋_GB2312"/>
                <w:b/>
                <w:color w:val="000000"/>
                <w:sz w:val="21"/>
              </w:rPr>
            </w:pPr>
            <w:r>
              <w:rPr>
                <w:rFonts w:hint="eastAsia" w:ascii="仿宋_GB2312" w:hAnsi="宋体" w:eastAsia="仿宋_GB2312"/>
                <w:b/>
                <w:color w:val="000000"/>
                <w:kern w:val="0"/>
                <w:sz w:val="21"/>
              </w:rPr>
              <w:t>班组安全建设（10分）</w:t>
            </w: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重视企业班组安全建设，通过班组日常教育、温情教育和警示教育等，广泛开展班组安全宣传教育活动（6分），组织开展班组安全技能培训、安全生产合理化建议、安全管理优秀成果展示等班组安全文化活动（4分）。</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152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center"/>
              <w:textAlignment w:val="center"/>
              <w:rPr>
                <w:rFonts w:hint="eastAsia" w:ascii="仿宋_GB2312" w:hAnsi="宋体" w:eastAsia="仿宋_GB2312"/>
                <w:b/>
                <w:color w:val="000000"/>
                <w:sz w:val="21"/>
              </w:rPr>
            </w:pPr>
            <w:r>
              <w:rPr>
                <w:rFonts w:hint="eastAsia" w:ascii="仿宋_GB2312" w:hAnsi="宋体" w:eastAsia="仿宋_GB2312"/>
                <w:b/>
                <w:color w:val="000000"/>
                <w:kern w:val="0"/>
                <w:sz w:val="21"/>
              </w:rPr>
              <w:t xml:space="preserve">安全管理（20分） </w:t>
            </w: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 xml:space="preserve">安全生产管理机构健全，有专、兼职安全人员并形成网络（3分），安全生产管理有计划，有具体实施方案（2分）。 </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15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line="400" w:lineRule="exact"/>
              <w:jc w:val="center"/>
              <w:rPr>
                <w:rFonts w:hint="eastAsia" w:ascii="仿宋_GB2312" w:hAnsi="宋体" w:eastAsia="仿宋_GB2312"/>
                <w:b/>
                <w:color w:val="000000"/>
                <w:sz w:val="21"/>
              </w:rPr>
            </w:pP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建立全员安全生产责任制度（3分），明确各岗位安全生产职责（2分），建立教育培训档案和安全生产责任制管理考核制度（2分)，健全激励约束机制，激发全员参与安全生产工作的积极性和主动性(2分）。</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5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line="400" w:lineRule="exact"/>
              <w:jc w:val="center"/>
              <w:rPr>
                <w:rFonts w:hint="eastAsia" w:ascii="仿宋_GB2312" w:hAnsi="宋体" w:eastAsia="仿宋_GB2312"/>
                <w:b/>
                <w:color w:val="000000"/>
                <w:sz w:val="21"/>
              </w:rPr>
            </w:pP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 xml:space="preserve">把劳动安全卫生条款列入平等协商、签订集体合同内容并严格执行（属高危行业必须签订劳动安全卫生专项集体合同）（2分）。 </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5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line="400" w:lineRule="exact"/>
              <w:jc w:val="center"/>
              <w:rPr>
                <w:rFonts w:hint="eastAsia" w:ascii="仿宋_GB2312" w:hAnsi="宋体" w:eastAsia="仿宋_GB2312"/>
                <w:b/>
                <w:color w:val="000000"/>
                <w:sz w:val="21"/>
              </w:rPr>
            </w:pP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 xml:space="preserve">个人劳动防护用品符合标准，配备齐全，并按规定严格检查（1分）。 </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15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line="400" w:lineRule="exact"/>
              <w:jc w:val="center"/>
              <w:rPr>
                <w:rFonts w:hint="eastAsia" w:ascii="仿宋_GB2312" w:hAnsi="宋体" w:eastAsia="仿宋_GB2312"/>
                <w:b/>
                <w:color w:val="000000"/>
                <w:sz w:val="21"/>
              </w:rPr>
            </w:pP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安全装置齐全有效，设备完好率100％（1分）， 消防设备与器材齐全，有专人负责，并定期检查和保养（1分）。</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5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line="400" w:lineRule="exact"/>
              <w:jc w:val="center"/>
              <w:rPr>
                <w:rFonts w:hint="eastAsia" w:ascii="仿宋_GB2312" w:hAnsi="宋体" w:eastAsia="仿宋_GB2312"/>
                <w:b/>
                <w:color w:val="000000"/>
                <w:sz w:val="21"/>
              </w:rPr>
            </w:pP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认真做好夏季防暑降温工作。（1分）</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52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center"/>
              <w:textAlignment w:val="center"/>
              <w:rPr>
                <w:rFonts w:hint="eastAsia" w:ascii="仿宋_GB2312" w:hAnsi="宋体" w:eastAsia="仿宋_GB2312"/>
                <w:b/>
                <w:color w:val="000000"/>
                <w:sz w:val="21"/>
              </w:rPr>
            </w:pPr>
            <w:r>
              <w:rPr>
                <w:rFonts w:hint="eastAsia" w:ascii="仿宋_GB2312" w:hAnsi="宋体" w:eastAsia="仿宋_GB2312"/>
                <w:b/>
                <w:color w:val="000000"/>
                <w:kern w:val="0"/>
                <w:sz w:val="21"/>
              </w:rPr>
              <w:t>群众监督（20分）</w:t>
            </w: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 xml:space="preserve">认真贯彻工会劳动保护监督检查“三个条例”，健全三级工会劳动保护监督检查网络，加强工会劳动保护监督检查员考核及管理。（5分） </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15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line="400" w:lineRule="exact"/>
              <w:jc w:val="center"/>
              <w:rPr>
                <w:rFonts w:hint="eastAsia" w:ascii="仿宋_GB2312" w:hAnsi="宋体" w:eastAsia="仿宋_GB2312"/>
                <w:b/>
                <w:color w:val="000000"/>
                <w:sz w:val="21"/>
              </w:rPr>
            </w:pP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开展经常性的事故隐患和职业病危害源点排查，并进行分级管理，及时整改（3分），建立企业重大隐患治理情况向负有安全生产监督管理职责的部门和企业职代会“双报告”制度（2分）。</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5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line="400" w:lineRule="exact"/>
              <w:jc w:val="center"/>
              <w:rPr>
                <w:rFonts w:hint="eastAsia" w:ascii="仿宋_GB2312" w:hAnsi="宋体" w:eastAsia="仿宋_GB2312"/>
                <w:b/>
                <w:color w:val="000000"/>
                <w:sz w:val="21"/>
              </w:rPr>
            </w:pP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积极配合公安消防（1分）及交管部门（1分）做好职工的消防及交通安全教育和管理。企业职工没有发生过严重违章事故（2分）。</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5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line="400" w:lineRule="exact"/>
              <w:jc w:val="center"/>
              <w:rPr>
                <w:rFonts w:hint="eastAsia" w:ascii="仿宋_GB2312" w:hAnsi="宋体" w:eastAsia="仿宋_GB2312"/>
                <w:b/>
                <w:color w:val="000000"/>
                <w:sz w:val="21"/>
              </w:rPr>
            </w:pP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重视职业病防治工作，开展群众性职业卫生监督检查活动。（3分）</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5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line="400" w:lineRule="exact"/>
              <w:jc w:val="center"/>
              <w:rPr>
                <w:rFonts w:hint="eastAsia" w:ascii="仿宋_GB2312" w:hAnsi="宋体" w:eastAsia="仿宋_GB2312"/>
                <w:b/>
                <w:color w:val="000000"/>
                <w:sz w:val="21"/>
              </w:rPr>
            </w:pP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重视女工劳动保护，认真做好女职工“四期”保护。（3分）</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2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center"/>
              <w:textAlignment w:val="center"/>
              <w:rPr>
                <w:rFonts w:hint="eastAsia" w:ascii="仿宋_GB2312" w:hAnsi="宋体" w:eastAsia="仿宋_GB2312"/>
                <w:b/>
                <w:color w:val="000000"/>
                <w:sz w:val="21"/>
              </w:rPr>
            </w:pPr>
            <w:r>
              <w:rPr>
                <w:rFonts w:hint="eastAsia" w:ascii="仿宋_GB2312" w:hAnsi="宋体" w:eastAsia="仿宋_GB2312"/>
                <w:b/>
                <w:color w:val="000000"/>
                <w:kern w:val="0"/>
                <w:sz w:val="21"/>
              </w:rPr>
              <w:t xml:space="preserve">事故控制（25分） </w:t>
            </w: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未发生重特大事故。（25分）</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525"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center"/>
              <w:textAlignment w:val="center"/>
              <w:rPr>
                <w:rFonts w:hint="eastAsia" w:ascii="仿宋_GB2312" w:hAnsi="宋体" w:eastAsia="仿宋_GB2312"/>
                <w:b/>
                <w:color w:val="000000"/>
                <w:sz w:val="21"/>
              </w:rPr>
            </w:pPr>
            <w:r>
              <w:rPr>
                <w:rFonts w:hint="eastAsia" w:ascii="仿宋_GB2312" w:hAnsi="宋体" w:eastAsia="仿宋_GB2312"/>
                <w:b/>
                <w:color w:val="000000"/>
                <w:kern w:val="0"/>
                <w:sz w:val="21"/>
              </w:rPr>
              <w:t>*组织宣传（10分）</w:t>
            </w:r>
          </w:p>
        </w:tc>
        <w:tc>
          <w:tcPr>
            <w:tcW w:w="658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left"/>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组织开展省级“安康杯”知识竞赛活动进地方卫视。（10分）</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trPr>
        <w:tc>
          <w:tcPr>
            <w:tcW w:w="810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beforeLines="0" w:afterLines="0" w:line="400" w:lineRule="exact"/>
              <w:jc w:val="center"/>
              <w:textAlignment w:val="center"/>
              <w:rPr>
                <w:rFonts w:hint="eastAsia" w:ascii="仿宋_GB2312" w:hAnsi="宋体" w:eastAsia="仿宋_GB2312"/>
                <w:color w:val="000000"/>
                <w:sz w:val="21"/>
              </w:rPr>
            </w:pPr>
            <w:r>
              <w:rPr>
                <w:rFonts w:hint="eastAsia" w:ascii="仿宋_GB2312" w:hAnsi="宋体" w:eastAsia="仿宋_GB2312"/>
                <w:color w:val="000000"/>
                <w:kern w:val="0"/>
                <w:sz w:val="21"/>
              </w:rPr>
              <w:t>总 得 分</w:t>
            </w:r>
          </w:p>
        </w:tc>
        <w:tc>
          <w:tcPr>
            <w:tcW w:w="1164" w:type="dxa"/>
            <w:tcBorders>
              <w:top w:val="single" w:color="000000" w:sz="4" w:space="0"/>
              <w:left w:val="single" w:color="000000" w:sz="4" w:space="0"/>
              <w:bottom w:val="single" w:color="000000" w:sz="4" w:space="0"/>
              <w:right w:val="single" w:color="000000" w:sz="4" w:space="0"/>
              <w:tl2br w:val="nil"/>
              <w:tr2bl w:val="nil"/>
            </w:tcBorders>
            <w:vAlign w:val="bottom"/>
          </w:tcPr>
          <w:p>
            <w:pPr>
              <w:spacing w:line="400" w:lineRule="exact"/>
              <w:rPr>
                <w:rFonts w:hint="eastAsia" w:ascii="宋体" w:hAnsi="宋体"/>
                <w:color w:val="00000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9270" w:type="dxa"/>
            <w:gridSpan w:val="3"/>
            <w:tcBorders>
              <w:top w:val="single" w:color="000000" w:sz="4" w:space="0"/>
              <w:left w:val="nil"/>
              <w:bottom w:val="nil"/>
              <w:right w:val="nil"/>
              <w:tl2br w:val="nil"/>
              <w:tr2bl w:val="nil"/>
            </w:tcBorders>
            <w:vAlign w:val="bottom"/>
          </w:tcPr>
          <w:p>
            <w:pPr>
              <w:widowControl/>
              <w:spacing w:beforeLines="0" w:afterLines="0" w:line="400" w:lineRule="exact"/>
              <w:jc w:val="left"/>
              <w:textAlignment w:val="bottom"/>
              <w:rPr>
                <w:rFonts w:hint="eastAsia" w:ascii="宋体" w:hAnsi="宋体"/>
                <w:b/>
                <w:color w:val="000000"/>
                <w:sz w:val="21"/>
              </w:rPr>
            </w:pPr>
            <w:r>
              <w:rPr>
                <w:rFonts w:hint="eastAsia" w:ascii="宋体" w:hAnsi="宋体"/>
                <w:b/>
                <w:color w:val="000000"/>
                <w:kern w:val="0"/>
                <w:sz w:val="21"/>
              </w:rPr>
              <w:t xml:space="preserve">   注：*为额外加分项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文鼎大标宋简">
    <w:altName w:val="微软雅黑"/>
    <w:panose1 w:val="0201060901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2010601030101010101"/>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dobe 黑体 Std R">
    <w:altName w:val="黑体"/>
    <w:panose1 w:val="020B0400000000000000"/>
    <w:charset w:val="86"/>
    <w:family w:val="auto"/>
    <w:pitch w:val="default"/>
    <w:sig w:usb0="00000000" w:usb1="00000000" w:usb2="00000016" w:usb3="00000000" w:csb0="00060007"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61B67"/>
    <w:rsid w:val="4FA61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2019-01-07T09:18:00Z</dcterms:created>
  <dc:creator>Administrator</dc:creator>
  <cp:lastModifiedBy>Administrator</cp:lastModifiedBy>
  <dcterms:modified xsi:type="dcterms:W3CDTF">2019-01-07T09:19:20Z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