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方正小标宋简体" w:hAnsi="Arial" w:eastAsia="方正小标宋简体" w:cs="Arial"/>
          <w:kern w:val="0"/>
          <w:sz w:val="44"/>
          <w:szCs w:val="44"/>
        </w:rPr>
      </w:pPr>
    </w:p>
    <w:p>
      <w:pPr>
        <w:widowControl/>
        <w:spacing w:line="560" w:lineRule="exact"/>
        <w:jc w:val="center"/>
        <w:rPr>
          <w:rFonts w:hint="eastAsia" w:ascii="方正小标宋简体" w:hAnsi="Arial" w:eastAsia="方正小标宋简体" w:cs="Arial"/>
          <w:kern w:val="0"/>
          <w:sz w:val="44"/>
          <w:szCs w:val="44"/>
          <w:lang w:eastAsia="zh-CN"/>
        </w:rPr>
      </w:pPr>
      <w:r>
        <w:rPr>
          <w:rFonts w:hint="eastAsia" w:ascii="方正小标宋简体" w:hAnsi="Arial" w:eastAsia="方正小标宋简体" w:cs="Arial"/>
          <w:kern w:val="0"/>
          <w:sz w:val="44"/>
          <w:szCs w:val="44"/>
          <w:lang w:eastAsia="zh-CN"/>
        </w:rPr>
        <w:t>《</w:t>
      </w:r>
      <w:r>
        <w:rPr>
          <w:rFonts w:hint="eastAsia" w:ascii="方正小标宋简体" w:hAnsi="Arial" w:eastAsia="方正小标宋简体" w:cs="Arial"/>
          <w:kern w:val="0"/>
          <w:sz w:val="44"/>
          <w:szCs w:val="44"/>
        </w:rPr>
        <w:t>促进工作场所性别平等</w:t>
      </w:r>
      <w:r>
        <w:rPr>
          <w:rFonts w:hint="eastAsia" w:ascii="方正小标宋简体" w:hAnsi="Arial" w:eastAsia="方正小标宋简体" w:cs="Arial"/>
          <w:kern w:val="0"/>
          <w:sz w:val="44"/>
          <w:szCs w:val="44"/>
          <w:lang w:eastAsia="zh-CN"/>
        </w:rPr>
        <w:t>》</w:t>
      </w:r>
    </w:p>
    <w:p>
      <w:pPr>
        <w:widowControl/>
        <w:spacing w:line="560" w:lineRule="exact"/>
        <w:jc w:val="center"/>
        <w:rPr>
          <w:rFonts w:hint="eastAsia"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知识竞赛</w:t>
      </w:r>
      <w:r>
        <w:rPr>
          <w:rFonts w:hint="eastAsia" w:ascii="方正小标宋简体" w:hAnsi="Arial" w:eastAsia="方正小标宋简体" w:cs="Arial"/>
          <w:kern w:val="0"/>
          <w:sz w:val="44"/>
          <w:szCs w:val="44"/>
          <w:lang w:val="en-US" w:eastAsia="zh-CN"/>
        </w:rPr>
        <w:t>参考</w:t>
      </w:r>
      <w:bookmarkStart w:id="0" w:name="_GoBack"/>
      <w:bookmarkEnd w:id="0"/>
      <w:r>
        <w:rPr>
          <w:rFonts w:hint="eastAsia" w:ascii="方正小标宋简体" w:hAnsi="Arial" w:eastAsia="方正小标宋简体" w:cs="Arial"/>
          <w:kern w:val="0"/>
          <w:sz w:val="44"/>
          <w:szCs w:val="44"/>
        </w:rPr>
        <w:t>题目</w:t>
      </w:r>
    </w:p>
    <w:p>
      <w:pPr>
        <w:widowControl/>
        <w:spacing w:line="560" w:lineRule="exact"/>
        <w:jc w:val="center"/>
        <w:rPr>
          <w:rFonts w:hint="eastAsia" w:ascii="方正小标宋简体" w:hAnsi="Arial" w:eastAsia="方正小标宋简体" w:cs="Arial"/>
          <w:kern w:val="0"/>
          <w:sz w:val="44"/>
          <w:szCs w:val="44"/>
        </w:rPr>
      </w:pP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一、单选题（共</w:t>
      </w:r>
      <w:r>
        <w:rPr>
          <w:rFonts w:ascii="黑体" w:hAnsi="黑体" w:eastAsia="黑体" w:cs="Arial"/>
          <w:kern w:val="0"/>
          <w:sz w:val="32"/>
          <w:szCs w:val="32"/>
        </w:rPr>
        <w:t>20</w:t>
      </w:r>
      <w:r>
        <w:rPr>
          <w:rFonts w:hint="eastAsia" w:ascii="黑体" w:hAnsi="黑体" w:eastAsia="黑体" w:cs="Arial"/>
          <w:kern w:val="0"/>
          <w:sz w:val="32"/>
          <w:szCs w:val="32"/>
        </w:rPr>
        <w:t>题）</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、性别平等是在各个年龄阶段和各个工作生活阶段中，</w:t>
      </w:r>
    </w:p>
    <w:p>
      <w:pPr>
        <w:widowControl/>
        <w:spacing w:line="560" w:lineRule="exact"/>
        <w:rPr>
          <w:rFonts w:ascii="仿宋_GB2312" w:hAnsi="Arial" w:eastAsia="仿宋_GB2312" w:cs="Arial"/>
          <w:kern w:val="0"/>
          <w:sz w:val="32"/>
          <w:szCs w:val="32"/>
        </w:rPr>
      </w:pPr>
      <w:r>
        <w:rPr>
          <w:rFonts w:hint="eastAsia" w:ascii="仿宋_GB2312" w:hAnsi="Arial" w:eastAsia="仿宋_GB2312" w:cs="Arial"/>
          <w:kern w:val="0"/>
          <w:sz w:val="32"/>
          <w:szCs w:val="32"/>
        </w:rPr>
        <w:t>男女享有平等的（  ）。</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、收入、权利、义务</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、薪资、保险、养老</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、机会、权利、待遇</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、财产、收入、保障</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）指男女职工享有平等的工作机会和待遇，从事同等价值的工作获得同等报酬，公平享有安全健康的工作环境和生育保护，平等参与集体协商，平等获得职业发展机会，以及获得平衡工作和家庭的支持等。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、男女平等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、性别平等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、消除性别歧视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、工作场所性别平等</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 xml:space="preserve">、工作场所性别歧视指（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）基于劳动者的性别、婚育状况，在招聘、录用、工作岗位安排、工资福利、培训、晋升、工作时间、工作条件、社会保障、解除或终止劳动关系等方面区别对待，损害劳动者平等的权利、机会、待遇的行为。</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、企业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、雇主  </w:t>
      </w: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、用人单位  </w:t>
      </w:r>
      <w:r>
        <w:rPr>
          <w:rFonts w:ascii="仿宋_GB2312" w:hAnsi="Arial" w:eastAsia="仿宋_GB2312" w:cs="Arial"/>
          <w:kern w:val="0"/>
          <w:sz w:val="32"/>
          <w:szCs w:val="32"/>
        </w:rPr>
        <w:t>D</w:t>
      </w:r>
      <w:r>
        <w:rPr>
          <w:rFonts w:hint="eastAsia" w:ascii="仿宋_GB2312" w:hAnsi="Arial" w:eastAsia="仿宋_GB2312" w:cs="Arial"/>
          <w:kern w:val="0"/>
          <w:sz w:val="32"/>
          <w:szCs w:val="32"/>
        </w:rPr>
        <w:t>、用工单位</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 xml:space="preserve">、用人单位在制定和实施性别平等措施时，要把促进性别平等纳入（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）中。</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、劳动合同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、聘用合同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、人事考核</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、核心管理制度与实践</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 xml:space="preserve">、用人单位职业培训和晋升制度包括采用公正客观的绩效评估体系来衡量职工的工作表现，确保评估和晋升都是在（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）的基础上做出。</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、能力和绩效</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、工龄和年龄</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、男女性别</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、工作量</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 xml:space="preserve">、用人单位薪酬制度包括工资福利分配应根据工作的（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）以及职工的表现、资历和贡献而定，不得因性别而差别对待。通过分性别统计，判断男女职工是否存在工资差异，找出潜在的歧视问题。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、多少</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 xml:space="preserve">、轻重   </w:t>
      </w:r>
      <w:r>
        <w:rPr>
          <w:rFonts w:ascii="仿宋_GB2312" w:hAnsi="Arial" w:eastAsia="仿宋_GB2312" w:cs="Arial"/>
          <w:kern w:val="0"/>
          <w:sz w:val="32"/>
          <w:szCs w:val="32"/>
        </w:rPr>
        <w:t>C</w:t>
      </w:r>
      <w:r>
        <w:rPr>
          <w:rFonts w:hint="eastAsia" w:ascii="仿宋_GB2312" w:hAnsi="Arial" w:eastAsia="仿宋_GB2312" w:cs="Arial"/>
          <w:kern w:val="0"/>
          <w:sz w:val="32"/>
          <w:szCs w:val="32"/>
        </w:rPr>
        <w:t>、质量</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、价值</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 xml:space="preserve">、性别平等宣传培训制度指为管理者、职工和工会代表提供性别平等方面的培训，保证（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）熟知性别平等制度。</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、男职工和女职工</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、公安和法院</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、管理者和职工</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、纪检和监察</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、用人单位职业培训和晋升制度包括公开宣传所有培训及晋升信息，并（</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）女职工申请。</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、强制</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 xml:space="preserve">、要求    </w:t>
      </w:r>
      <w:r>
        <w:rPr>
          <w:rFonts w:ascii="仿宋_GB2312" w:hAnsi="Arial" w:eastAsia="仿宋_GB2312" w:cs="Arial"/>
          <w:kern w:val="0"/>
          <w:sz w:val="32"/>
          <w:szCs w:val="32"/>
        </w:rPr>
        <w:t>C</w:t>
      </w:r>
      <w:r>
        <w:rPr>
          <w:rFonts w:hint="eastAsia" w:ascii="仿宋_GB2312" w:hAnsi="Arial" w:eastAsia="仿宋_GB2312" w:cs="Arial"/>
          <w:kern w:val="0"/>
          <w:sz w:val="32"/>
          <w:szCs w:val="32"/>
        </w:rPr>
        <w:t>、限制</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、鼓励</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、用人单位薪酬制度包括通过</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，判断男女职工是否存在工资差异，找出潜在的歧视问题。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、分性别统计</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、工资表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、企业利润</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、工资制度</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 xml:space="preserve">A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、用人单位生育保护制度指依法提供（</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），不得因怀孕、生育、哺乳而将职工转岗、减薪或解雇。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、经期保护</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、孕期保护</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、四期保护</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、生育保护</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、《宪法》第四十八条规定，中华人民共和国妇女在政治的、经济的、文化的、社会的和家庭的生活等各方面享有同男子（</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）的权利。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、一样</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、平等</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、同样</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、类似</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、《妇女权益保障法》第二十二条规定，（</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）保障妇女享有与男子平等的劳动权利和社会保障权利。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、企业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、单位</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、国家</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、职工</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13</w:t>
      </w:r>
      <w:r>
        <w:rPr>
          <w:rFonts w:hint="eastAsia" w:ascii="仿宋_GB2312" w:hAnsi="Arial" w:eastAsia="仿宋_GB2312" w:cs="Arial"/>
          <w:kern w:val="0"/>
          <w:sz w:val="32"/>
          <w:szCs w:val="32"/>
        </w:rPr>
        <w:t>、《妇女权益保障法》第二十三条规定，各单位在录用职工时，除不适合妇女的工种或者岗位外，不得以（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）为由拒绝录用妇女或者提高对妇女的录用标准。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、年龄</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、性别</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、外貌</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、身高</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、《就业促进法》第二十六条规定，用人单位招用人员、职业中介机构从事职业中介活动，应当向劳动者提供平等的就业机会和公平的就业条件，不得实施（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、就业歧视</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、身份歧视</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、外貌歧视</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、同工同酬</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）是指根据个人能力、经验和勤勉程度等，给予男女职工平等获得培训及晋升的权利和机会。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、养老保险</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、薪酬待遇平等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、职业发展机会平等</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、生育保护</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w:t>
      </w:r>
      <w:r>
        <w:rPr>
          <w:rFonts w:hint="eastAsia" w:ascii="仿宋_GB2312" w:hAnsi="仿宋_GB2312" w:eastAsia="仿宋_GB2312" w:cs="仿宋_GB2312"/>
          <w:kern w:val="0"/>
          <w:sz w:val="32"/>
          <w:szCs w:val="32"/>
        </w:rPr>
        <w:t>（  ）是指直接对男女职工造成的不平等对待</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、直接歧视</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、间接歧视</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职场暴力</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 职场骚扰</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  ）是指某些规定和做法看似中立，但实际上却导致对某一性别人群的不平等待遇。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、性别歧视</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、男女歧视</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、间接歧视          </w:t>
      </w:r>
      <w:r>
        <w:rPr>
          <w:rFonts w:ascii="仿宋_GB2312" w:hAnsi="Arial" w:eastAsia="仿宋_GB2312" w:cs="Arial"/>
          <w:kern w:val="0"/>
          <w:sz w:val="32"/>
          <w:szCs w:val="32"/>
        </w:rPr>
        <w:t>D</w:t>
      </w:r>
      <w:r>
        <w:rPr>
          <w:rFonts w:hint="eastAsia" w:ascii="仿宋_GB2312" w:hAnsi="Arial" w:eastAsia="仿宋_GB2312" w:cs="Arial"/>
          <w:kern w:val="0"/>
          <w:sz w:val="32"/>
          <w:szCs w:val="32"/>
        </w:rPr>
        <w:t>、直接歧视</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、以下哪一项不属于用人单位在支持职工平衡工作和家庭责任方面采取的措施（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、职工必须公布个人家庭和婚姻状况信息</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、提供灵活安排工作时间</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、提供远程办公的选择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、提供职工子女托幼服务和托管服务</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、以下哪一种情形不构成歧视（  ）。</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、因为性别获得较少的工作信息</w:t>
      </w:r>
      <w:r>
        <w:rPr>
          <w:rFonts w:ascii="仿宋_GB2312" w:hAnsi="Arial" w:eastAsia="仿宋_GB2312" w:cs="Arial"/>
          <w:kern w:val="0"/>
          <w:sz w:val="32"/>
          <w:szCs w:val="32"/>
        </w:rPr>
        <w:t xml:space="preserve">                </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、在裁员、解雇等方面因性别遭受差别对待</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、帮助男女职工共同承担家庭责任</w:t>
      </w:r>
      <w:r>
        <w:rPr>
          <w:rFonts w:ascii="仿宋_GB2312" w:hAnsi="Arial" w:eastAsia="仿宋_GB2312" w:cs="Arial"/>
          <w:kern w:val="0"/>
          <w:sz w:val="32"/>
          <w:szCs w:val="32"/>
        </w:rPr>
        <w:t xml:space="preserve">       </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、未能获得法律规定的生育保护和社会保障</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 xml:space="preserve">、以下哪一种情形构成歧视（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、为男女浴室分别雇用各自性别的服务员</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、用人单位在招聘中对求职者的性别进行限制性要求</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、对孕期、哺乳期女职工或者有家庭责任的职工的保护和支持</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、为代表性不足的群体搭建公平的竞争平台</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二、多选题（共</w:t>
      </w:r>
      <w:r>
        <w:rPr>
          <w:rFonts w:ascii="黑体" w:hAnsi="黑体" w:eastAsia="黑体" w:cs="Arial"/>
          <w:kern w:val="0"/>
          <w:sz w:val="32"/>
          <w:szCs w:val="32"/>
        </w:rPr>
        <w:t>10</w:t>
      </w:r>
      <w:r>
        <w:rPr>
          <w:rFonts w:hint="eastAsia" w:ascii="黑体" w:hAnsi="黑体" w:eastAsia="黑体" w:cs="Arial"/>
          <w:kern w:val="0"/>
          <w:sz w:val="32"/>
          <w:szCs w:val="32"/>
        </w:rPr>
        <w:t>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rPr>
        <w:t xml:space="preserve"> </w:t>
      </w:r>
      <w:r>
        <w:rPr>
          <w:rFonts w:hint="eastAsia" w:ascii="仿宋_GB2312" w:hAnsi="Arial" w:eastAsia="仿宋_GB2312" w:cs="Arial"/>
          <w:kern w:val="0"/>
          <w:sz w:val="32"/>
          <w:szCs w:val="32"/>
        </w:rPr>
        <w:t>促进工作场所性别平等有利于（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促进经济社会可持续健康发展</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促进社会公平正义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促进构建和谐劳动关系</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促进全社会尊重女性生育劳动价值</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促进提高就业质量，充分利用劳动力价值</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用人单位在促进工作场所性别平等中的责任和义务是（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了解消除性别歧视方面的法律法规规定，履行法律义务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建立性别平等机制</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进行性别平等状况自查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建立职工惩罚制度</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工会在促进工作场所性别平等中的责任和义务是（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促进用人单位建立性别平等机制</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监督用人单位性别平等状况</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加强工会组织促进性别平等的能力建设</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开展性别平等宣传倡导和培训</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维护职工性别平等权益，构建和谐劳动关系</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用人单位要建立工会及职工评议、监督制度，明确工会参与、监督的权利和职责，保证男女职工享有平等的（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知情权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参与权   </w:t>
      </w:r>
      <w:r>
        <w:rPr>
          <w:rFonts w:ascii="仿宋_GB2312" w:hAnsi="Arial" w:eastAsia="仿宋_GB2312" w:cs="Arial"/>
          <w:kern w:val="0"/>
          <w:sz w:val="32"/>
          <w:szCs w:val="32"/>
        </w:rPr>
        <w:t>C、</w:t>
      </w:r>
      <w:r>
        <w:rPr>
          <w:rFonts w:hint="eastAsia" w:ascii="仿宋_GB2312" w:hAnsi="Arial" w:eastAsia="仿宋_GB2312" w:cs="Arial"/>
          <w:kern w:val="0"/>
          <w:sz w:val="32"/>
          <w:szCs w:val="32"/>
        </w:rPr>
        <w:t>表达权</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监督权</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r>
        <w:t xml:space="preserve"> </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性别平等宣传培训制度指为（       ）提供性别平等方面的培训，保证管理者和职工熟知性别平等制度。</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管理者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职工   </w:t>
      </w: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工会代表   </w:t>
      </w: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法院</w:t>
      </w:r>
      <w:r>
        <w:rPr>
          <w:rFonts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用人单位薪酬制度包括工资福利分配应根据（       ）而定，不得因性别而差别对待。</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工作的价值        </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职工的表现</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资历                </w:t>
      </w:r>
      <w:r>
        <w:rPr>
          <w:rFonts w:ascii="仿宋_GB2312" w:hAnsi="Arial" w:eastAsia="仿宋_GB2312" w:cs="Arial"/>
          <w:kern w:val="0"/>
          <w:sz w:val="32"/>
          <w:szCs w:val="32"/>
        </w:rPr>
        <w:t>D、</w:t>
      </w:r>
      <w:r>
        <w:rPr>
          <w:rFonts w:hint="eastAsia" w:ascii="仿宋_GB2312" w:hAnsi="Arial" w:eastAsia="仿宋_GB2312" w:cs="Arial"/>
          <w:kern w:val="0"/>
          <w:sz w:val="32"/>
          <w:szCs w:val="32"/>
        </w:rPr>
        <w:t>贡献</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为推进工作场所性别平等，用人单位要建立职业健康保护制度，包括（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建立女职工劳动保护制度，减少和解决女职工在劳动中因生理特点造成的特殊困难</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防止职业因素对女职工生殖健康的影响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注重人文关怀和心理疏导</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促进职工心理健康</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用人单位工作与家庭平衡机制包括（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适当调整工作时间和工作形式</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建立弹性工作制，以便男女职工平衡工作和家庭</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根据职工需求提供托管服务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为职工缴纳社会保险</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职工（代表）大会代表中应有适当比例的女职工代表，职工（代表）大会审议通过包括促进性别平等相关条款的集体合同及女职工权益保护专项集体合同，由</w:t>
      </w:r>
      <w:r>
        <w:rPr>
          <w:rFonts w:hint="eastAsia" w:ascii="仿宋_GB2312" w:hAnsi="仿宋_GB2312" w:eastAsia="仿宋_GB2312" w:cs="仿宋_GB2312"/>
          <w:kern w:val="0"/>
          <w:sz w:val="32"/>
          <w:szCs w:val="32"/>
        </w:rPr>
        <w:t>（       ）</w:t>
      </w:r>
      <w:r>
        <w:rPr>
          <w:rFonts w:hint="eastAsia" w:ascii="仿宋_GB2312" w:hAnsi="Arial" w:eastAsia="仿宋_GB2312" w:cs="Arial"/>
          <w:kern w:val="0"/>
          <w:sz w:val="32"/>
          <w:szCs w:val="32"/>
        </w:rPr>
        <w:t>双方首席代表签订。</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A、</w:t>
      </w:r>
      <w:r>
        <w:rPr>
          <w:rFonts w:hint="eastAsia" w:ascii="仿宋_GB2312" w:hAnsi="Arial" w:eastAsia="仿宋_GB2312" w:cs="Arial"/>
          <w:kern w:val="0"/>
          <w:sz w:val="32"/>
          <w:szCs w:val="32"/>
        </w:rPr>
        <w:t>用人单位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企业法人</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D、女职工</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hint="eastAsia" w:ascii="仿宋_GB2312" w:hAnsi="仿宋_GB2312" w:eastAsia="仿宋_GB2312" w:cs="仿宋_GB2312"/>
          <w:kern w:val="0"/>
          <w:sz w:val="32"/>
          <w:szCs w:val="32"/>
        </w:rPr>
        <w:t>A</w:t>
      </w:r>
      <w:r>
        <w:rPr>
          <w:rFonts w:ascii="仿宋_GB2312" w:hAnsi="仿宋_GB2312" w:eastAsia="仿宋_GB2312" w:cs="仿宋_GB2312"/>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职业发展机会平等主要包括（       ）三个方面。</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平等的职业培训机会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平等的晋升机会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平等的选拔机会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D、平等的评优、奖励机会</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ABD</w:t>
      </w:r>
    </w:p>
    <w:p>
      <w:pPr>
        <w:widowControl/>
        <w:spacing w:line="560" w:lineRule="exact"/>
        <w:ind w:firstLine="640" w:firstLineChars="200"/>
        <w:rPr>
          <w:rFonts w:hint="eastAsia" w:ascii="黑体" w:hAnsi="黑体" w:eastAsia="黑体" w:cs="Arial"/>
          <w:kern w:val="0"/>
          <w:sz w:val="32"/>
          <w:szCs w:val="32"/>
        </w:rPr>
      </w:pPr>
      <w:r>
        <w:rPr>
          <w:rFonts w:hint="eastAsia" w:ascii="黑体" w:hAnsi="黑体" w:eastAsia="黑体" w:cs="Arial"/>
          <w:kern w:val="0"/>
          <w:sz w:val="32"/>
          <w:szCs w:val="32"/>
        </w:rPr>
        <w:t>三、判断题（共20题）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工作场所性别歧视，不符合国际企业社会责任标准的要求，会降低企业在国际贸易中的机会和竞争力。（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促进工作场所性别平等指导手册》是依据我国有关法律法规和已经批准的相关国际公约而制定，旨在推动用人单位落实法律法规规定，承担社会责任，建立健全工作场所性别平等制度机制，为工会组织促进工作场所性别平等和职工依法维护自身权益提供帮助和指导。（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基于工作实际和真实的需要而采取的特别措施不构成歧视，比如为男女浴室分别雇用各自性别的服务员。（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根据特殊情况保护特定劳动者群体不构成歧视，比如对孕期、哺乳期女职工或者有家庭责任的职工的保护和支持。（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用人单位在制定和实施性别平等措施时，应当对人力资源管理制度进行审查，删除其中的歧视性规定，并确定哪些领域需要进一步推动性别平等。（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用人单位应当创建性别平等的企业文化，建立面向管理者和职工的宣传倡导和培训制度，通过网上网下多渠道发布，使管理者和职工了解本单位性别平等制度的内容。（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用人单位在制定和实施性别平等措施时，应当实施性别平等方案和反歧视制度措施。</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用人单位应当建立健全性别歧视问题投诉受理制度，帮助受歧视人或利害关系人知晓投诉受理渠道、程序。（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用人单位应当确保职工通过公开方式对性别歧视行为进行投诉。（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用人单位不必采取措施确保提出投诉的职工不受纪律惩戒和报复。（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用人单位应当监测性别平等方案实施情况，将实施的进展和面临的问题及时与有关各方沟通，并有针对性地提出改进方案和措施。（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用人单位制定和实施性别平等措施的步骤包括承诺、调查、确立、宣传、实施、受理、惩戒、自查、监督。（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13、</w:t>
      </w:r>
      <w:r>
        <w:rPr>
          <w:rFonts w:hint="eastAsia" w:ascii="仿宋_GB2312" w:hAnsi="Arial" w:eastAsia="仿宋_GB2312" w:cs="Arial"/>
          <w:kern w:val="0"/>
          <w:sz w:val="32"/>
          <w:szCs w:val="32"/>
        </w:rPr>
        <w:t>性别平等应当纳入用人单位宣传培训制度、招聘制度、职业培训和晋升制度、薪酬制度、生育保护制度、职业健康保护制度、社会保险制度、就业保障制度、工作与家庭平衡机制、集体协商制度、民主管理制度、预防和制止职场暴力和性骚扰的制度和争议处理制度。（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用人单位举办培训时不能考虑男女职工的需求，有家庭责任的职工不能参加。（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工会应当广泛征求职工意见，在确定协商议题、推举协商代表等方面充分考虑两性需求，确保男职工不能参加。（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各级工会女职工委员会应当积极参与和监督本单位性别平等工作，及时发现、反映、督促解决女职工遭受性别歧视的问题。（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集体协商代表只要女职工比男职工多就合适了。（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间接歧视是指某些规定和做法看似中立，但实际上却导致对某一性别人群的不平等待遇。比如要求求职者身高1.70以上的人才能胜任这项工作，实际上把大部分女性排除在外。（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用人单位应当将职场暴力和性骚扰作为一种严重违纪行为，写进规章制度，并对可能构成暴力和性骚扰的行为进行列举。（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同工同酬原则仅适用于用人单位发放的工资，不适用于福利。（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sectPr>
      <w:footerReference r:id="rId3" w:type="default"/>
      <w:footerReference r:id="rId4" w:type="even"/>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FZFSK--GBK1-0">
    <w:altName w:val="Arial"/>
    <w:panose1 w:val="00000000000000000000"/>
    <w:charset w:val="00"/>
    <w:family w:val="auto"/>
    <w:pitch w:val="default"/>
    <w:sig w:usb0="00000000" w:usb1="00000000" w:usb2="00000000" w:usb3="00000000" w:csb0="00040001" w:csb1="00000000"/>
  </w:font>
  <w:font w:name="E-BX">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FF"/>
    <w:rsid w:val="000076FF"/>
    <w:rsid w:val="00022174"/>
    <w:rsid w:val="0005558E"/>
    <w:rsid w:val="000A7B35"/>
    <w:rsid w:val="000F78BD"/>
    <w:rsid w:val="001038BF"/>
    <w:rsid w:val="00105730"/>
    <w:rsid w:val="0010711B"/>
    <w:rsid w:val="0012343B"/>
    <w:rsid w:val="00124AA4"/>
    <w:rsid w:val="00147310"/>
    <w:rsid w:val="00153149"/>
    <w:rsid w:val="001807B4"/>
    <w:rsid w:val="00192501"/>
    <w:rsid w:val="001A3FBB"/>
    <w:rsid w:val="001C7394"/>
    <w:rsid w:val="001E74F7"/>
    <w:rsid w:val="00200895"/>
    <w:rsid w:val="00251B79"/>
    <w:rsid w:val="00262ED1"/>
    <w:rsid w:val="00296680"/>
    <w:rsid w:val="002D6BE2"/>
    <w:rsid w:val="002E276B"/>
    <w:rsid w:val="00341D67"/>
    <w:rsid w:val="003641DA"/>
    <w:rsid w:val="003844D6"/>
    <w:rsid w:val="003913A9"/>
    <w:rsid w:val="003A0220"/>
    <w:rsid w:val="003B6BC5"/>
    <w:rsid w:val="003C275D"/>
    <w:rsid w:val="003E5F68"/>
    <w:rsid w:val="003F65C6"/>
    <w:rsid w:val="00406F64"/>
    <w:rsid w:val="004123CD"/>
    <w:rsid w:val="004547F2"/>
    <w:rsid w:val="00487EB4"/>
    <w:rsid w:val="004A2AFD"/>
    <w:rsid w:val="004F5611"/>
    <w:rsid w:val="00502B08"/>
    <w:rsid w:val="00517F59"/>
    <w:rsid w:val="005217D5"/>
    <w:rsid w:val="00524A73"/>
    <w:rsid w:val="00552FF7"/>
    <w:rsid w:val="005832AE"/>
    <w:rsid w:val="005C36EC"/>
    <w:rsid w:val="005E4393"/>
    <w:rsid w:val="00603AFD"/>
    <w:rsid w:val="00607B5F"/>
    <w:rsid w:val="006139CF"/>
    <w:rsid w:val="00622D27"/>
    <w:rsid w:val="00631C22"/>
    <w:rsid w:val="0063686F"/>
    <w:rsid w:val="006454BD"/>
    <w:rsid w:val="006658DB"/>
    <w:rsid w:val="0066776A"/>
    <w:rsid w:val="006B1DC2"/>
    <w:rsid w:val="006B43DC"/>
    <w:rsid w:val="006E7BC3"/>
    <w:rsid w:val="00724DAC"/>
    <w:rsid w:val="0072652C"/>
    <w:rsid w:val="00761BF2"/>
    <w:rsid w:val="00764A69"/>
    <w:rsid w:val="00764FA5"/>
    <w:rsid w:val="00766ABA"/>
    <w:rsid w:val="00775A8C"/>
    <w:rsid w:val="007A3AAE"/>
    <w:rsid w:val="007B1EF8"/>
    <w:rsid w:val="007C27D8"/>
    <w:rsid w:val="00812688"/>
    <w:rsid w:val="00813E73"/>
    <w:rsid w:val="00861FEC"/>
    <w:rsid w:val="00876854"/>
    <w:rsid w:val="00893309"/>
    <w:rsid w:val="008A6AC3"/>
    <w:rsid w:val="008A79AD"/>
    <w:rsid w:val="008B5A8B"/>
    <w:rsid w:val="008D349E"/>
    <w:rsid w:val="008E07C3"/>
    <w:rsid w:val="008E5295"/>
    <w:rsid w:val="008F3F88"/>
    <w:rsid w:val="008F5313"/>
    <w:rsid w:val="00954FB9"/>
    <w:rsid w:val="00961EB9"/>
    <w:rsid w:val="0097081C"/>
    <w:rsid w:val="0097602E"/>
    <w:rsid w:val="009A3E2B"/>
    <w:rsid w:val="009B297A"/>
    <w:rsid w:val="009C0720"/>
    <w:rsid w:val="009C0DBE"/>
    <w:rsid w:val="009C2DF3"/>
    <w:rsid w:val="009F46BB"/>
    <w:rsid w:val="00A15FED"/>
    <w:rsid w:val="00A23E61"/>
    <w:rsid w:val="00A3572E"/>
    <w:rsid w:val="00A62C41"/>
    <w:rsid w:val="00A71763"/>
    <w:rsid w:val="00AA38BC"/>
    <w:rsid w:val="00AA484E"/>
    <w:rsid w:val="00AC34A7"/>
    <w:rsid w:val="00AD1DE4"/>
    <w:rsid w:val="00AD6F56"/>
    <w:rsid w:val="00AE47F6"/>
    <w:rsid w:val="00AF33B5"/>
    <w:rsid w:val="00AF3AAA"/>
    <w:rsid w:val="00B0300F"/>
    <w:rsid w:val="00B0397F"/>
    <w:rsid w:val="00B06AAF"/>
    <w:rsid w:val="00B375B1"/>
    <w:rsid w:val="00B549A5"/>
    <w:rsid w:val="00B54C41"/>
    <w:rsid w:val="00B61051"/>
    <w:rsid w:val="00BB3BD6"/>
    <w:rsid w:val="00BC0860"/>
    <w:rsid w:val="00BC3C31"/>
    <w:rsid w:val="00BD6F64"/>
    <w:rsid w:val="00BD753C"/>
    <w:rsid w:val="00C1480F"/>
    <w:rsid w:val="00C3239C"/>
    <w:rsid w:val="00C36447"/>
    <w:rsid w:val="00C62511"/>
    <w:rsid w:val="00C6684A"/>
    <w:rsid w:val="00C93091"/>
    <w:rsid w:val="00CD634C"/>
    <w:rsid w:val="00D00B53"/>
    <w:rsid w:val="00D12E61"/>
    <w:rsid w:val="00D221C9"/>
    <w:rsid w:val="00D3610D"/>
    <w:rsid w:val="00D82E4F"/>
    <w:rsid w:val="00DA00C7"/>
    <w:rsid w:val="00DB65BD"/>
    <w:rsid w:val="00DD0EC6"/>
    <w:rsid w:val="00DD3763"/>
    <w:rsid w:val="00DF664E"/>
    <w:rsid w:val="00E53C8D"/>
    <w:rsid w:val="00E8165E"/>
    <w:rsid w:val="00E847BA"/>
    <w:rsid w:val="00F001B7"/>
    <w:rsid w:val="00F100D4"/>
    <w:rsid w:val="00F36EBA"/>
    <w:rsid w:val="00F92F76"/>
    <w:rsid w:val="00F968F1"/>
    <w:rsid w:val="00FD0524"/>
    <w:rsid w:val="00FF646D"/>
    <w:rsid w:val="07960ACC"/>
    <w:rsid w:val="07F2332A"/>
    <w:rsid w:val="081A4D9B"/>
    <w:rsid w:val="08754444"/>
    <w:rsid w:val="0AA2783A"/>
    <w:rsid w:val="0AD1769F"/>
    <w:rsid w:val="0BDB4C9B"/>
    <w:rsid w:val="0C7154A0"/>
    <w:rsid w:val="0C7C25FD"/>
    <w:rsid w:val="0D786507"/>
    <w:rsid w:val="0EBB180A"/>
    <w:rsid w:val="0FC97F8F"/>
    <w:rsid w:val="0FF37DC1"/>
    <w:rsid w:val="0FF448F1"/>
    <w:rsid w:val="14282B8C"/>
    <w:rsid w:val="166324A4"/>
    <w:rsid w:val="169D4CD6"/>
    <w:rsid w:val="173F4640"/>
    <w:rsid w:val="1766038F"/>
    <w:rsid w:val="17AC1437"/>
    <w:rsid w:val="1814154F"/>
    <w:rsid w:val="1C474626"/>
    <w:rsid w:val="1C4B0355"/>
    <w:rsid w:val="1CA576F3"/>
    <w:rsid w:val="1E7A7ADF"/>
    <w:rsid w:val="20301F90"/>
    <w:rsid w:val="21106C2D"/>
    <w:rsid w:val="21F21DB5"/>
    <w:rsid w:val="232A77A6"/>
    <w:rsid w:val="236E2243"/>
    <w:rsid w:val="23DB4870"/>
    <w:rsid w:val="253A1B3D"/>
    <w:rsid w:val="25A9079A"/>
    <w:rsid w:val="27367CA7"/>
    <w:rsid w:val="2A1309D8"/>
    <w:rsid w:val="2A60280D"/>
    <w:rsid w:val="2CB82CD3"/>
    <w:rsid w:val="2D62633B"/>
    <w:rsid w:val="2D7C75AC"/>
    <w:rsid w:val="2DA979BE"/>
    <w:rsid w:val="2DB05D11"/>
    <w:rsid w:val="2E364726"/>
    <w:rsid w:val="2FCD3A84"/>
    <w:rsid w:val="30533131"/>
    <w:rsid w:val="310B6C30"/>
    <w:rsid w:val="316E142B"/>
    <w:rsid w:val="32934D8E"/>
    <w:rsid w:val="344E5FEF"/>
    <w:rsid w:val="34DE43AC"/>
    <w:rsid w:val="3660764E"/>
    <w:rsid w:val="37036B96"/>
    <w:rsid w:val="37FC0A95"/>
    <w:rsid w:val="384B4D69"/>
    <w:rsid w:val="38EF0A5B"/>
    <w:rsid w:val="39F93CFF"/>
    <w:rsid w:val="3B1619E0"/>
    <w:rsid w:val="3D3C35A6"/>
    <w:rsid w:val="3E932B71"/>
    <w:rsid w:val="3EE85962"/>
    <w:rsid w:val="41E5789F"/>
    <w:rsid w:val="42250D8B"/>
    <w:rsid w:val="42B76DCC"/>
    <w:rsid w:val="43495C23"/>
    <w:rsid w:val="441D49D5"/>
    <w:rsid w:val="4533552C"/>
    <w:rsid w:val="4745780B"/>
    <w:rsid w:val="49FF045B"/>
    <w:rsid w:val="4A9015CF"/>
    <w:rsid w:val="4B040CF6"/>
    <w:rsid w:val="4B48588F"/>
    <w:rsid w:val="4B727F1D"/>
    <w:rsid w:val="4B9F29AF"/>
    <w:rsid w:val="4BF87598"/>
    <w:rsid w:val="4C5F6DC6"/>
    <w:rsid w:val="4CC219D9"/>
    <w:rsid w:val="4DD85803"/>
    <w:rsid w:val="4E9F016E"/>
    <w:rsid w:val="4F6D04F4"/>
    <w:rsid w:val="500E662F"/>
    <w:rsid w:val="50C86C69"/>
    <w:rsid w:val="511D2B29"/>
    <w:rsid w:val="519E1171"/>
    <w:rsid w:val="535D1C2F"/>
    <w:rsid w:val="5388094C"/>
    <w:rsid w:val="54B30CA5"/>
    <w:rsid w:val="555219E6"/>
    <w:rsid w:val="5574248E"/>
    <w:rsid w:val="55F62844"/>
    <w:rsid w:val="56390D98"/>
    <w:rsid w:val="57093D6F"/>
    <w:rsid w:val="572D5EF2"/>
    <w:rsid w:val="5752773D"/>
    <w:rsid w:val="59441C94"/>
    <w:rsid w:val="59580059"/>
    <w:rsid w:val="5AA0745D"/>
    <w:rsid w:val="5AE13993"/>
    <w:rsid w:val="5C322563"/>
    <w:rsid w:val="640018EA"/>
    <w:rsid w:val="640D6506"/>
    <w:rsid w:val="65EB589C"/>
    <w:rsid w:val="660650DA"/>
    <w:rsid w:val="670C3458"/>
    <w:rsid w:val="68B51B14"/>
    <w:rsid w:val="68BE1E91"/>
    <w:rsid w:val="69824CFB"/>
    <w:rsid w:val="69840F98"/>
    <w:rsid w:val="6A8940C4"/>
    <w:rsid w:val="6AC518ED"/>
    <w:rsid w:val="6BB161C3"/>
    <w:rsid w:val="6CB404AC"/>
    <w:rsid w:val="6D7540C6"/>
    <w:rsid w:val="6E7E5003"/>
    <w:rsid w:val="6EC618BF"/>
    <w:rsid w:val="70134358"/>
    <w:rsid w:val="752A4E4A"/>
    <w:rsid w:val="753011CE"/>
    <w:rsid w:val="76EC5BF8"/>
    <w:rsid w:val="77CB6C87"/>
    <w:rsid w:val="786433C5"/>
    <w:rsid w:val="79D20E81"/>
    <w:rsid w:val="7BC33917"/>
    <w:rsid w:val="7C2F0F43"/>
    <w:rsid w:val="7D074A81"/>
    <w:rsid w:val="7D6E209C"/>
    <w:rsid w:val="7F036FFE"/>
    <w:rsid w:val="7F231CDF"/>
    <w:rsid w:val="7FC01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 w:type="character" w:customStyle="1" w:styleId="7">
    <w:name w:val="页脚 Char"/>
    <w:basedOn w:val="4"/>
    <w:link w:val="2"/>
    <w:qFormat/>
    <w:locked/>
    <w:uiPriority w:val="99"/>
    <w:rPr>
      <w:rFonts w:ascii="Times New Roman" w:hAnsi="Times New Roman" w:eastAsia="宋体" w:cs="Times New Roman"/>
      <w:sz w:val="18"/>
      <w:szCs w:val="18"/>
    </w:rPr>
  </w:style>
  <w:style w:type="character" w:customStyle="1" w:styleId="8">
    <w:name w:val="页眉 Char"/>
    <w:basedOn w:val="4"/>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706</Words>
  <Characters>4027</Characters>
  <Lines>33</Lines>
  <Paragraphs>9</Paragraphs>
  <ScaleCrop>false</ScaleCrop>
  <LinksUpToDate>false</LinksUpToDate>
  <CharactersWithSpaces>4724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2019-07-15T13:45:00Z</dcterms:created>
  <dc:creator>USER-</dc:creator>
  <cp:lastModifiedBy>SZX</cp:lastModifiedBy>
  <dcterms:modified xsi:type="dcterms:W3CDTF">2019-07-22T02:18:28Z</dcterms:modified>
  <dc:title>《河南省女职工劳动保护特别规定》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