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20" w:line="440" w:lineRule="exact"/>
        <w:jc w:val="both"/>
        <w:rPr>
          <w:rFonts w:hint="eastAsia" w:ascii="仿宋" w:hAnsi="仿宋" w:eastAsia="仿宋" w:cstheme="minorEastAsia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theme="minorEastAsia"/>
          <w:b w:val="0"/>
          <w:bCs w:val="0"/>
          <w:kern w:val="0"/>
          <w:sz w:val="30"/>
          <w:szCs w:val="30"/>
          <w:lang w:val="en-US" w:eastAsia="zh-CN"/>
        </w:rPr>
        <w:t>附件：</w:t>
      </w:r>
    </w:p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</w:p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  <w:t>2024年度审计计划和审计时间表</w:t>
      </w:r>
    </w:p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</w:p>
    <w:tbl>
      <w:tblPr>
        <w:tblStyle w:val="3"/>
        <w:tblW w:w="91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1"/>
        <w:gridCol w:w="6660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单   位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审计时间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1-3月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平顶山市工人文化宫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 xml:space="preserve"> 2-3月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河南省工人温泉疗养院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宝丰县总工会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汝州市总工会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鲁山县总工会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舞钢市总工会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新华区总工会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供电公司工会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舞阳钢铁有限责任公司工会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城乡一体化示范区工会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平煤神马集团工会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河南江河机械有限责任公司工会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平顶山姚孟发电有限责任公司工会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 xml:space="preserve"> 9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  <w:t>产业工会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9-10月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385DDE"/>
    <w:rsid w:val="3DDEFF82"/>
    <w:rsid w:val="6D9F4F3C"/>
    <w:rsid w:val="6FFB21F6"/>
    <w:rsid w:val="7EEE59BA"/>
    <w:rsid w:val="D57AE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2022-02-23T01:40:00Z</dcterms:created>
  <dc:creator>admin</dc:creator>
  <cp:lastModifiedBy>greatwall</cp:lastModifiedBy>
  <cp:lastPrinted>2024-03-04T16:09:47Z</cp:lastPrinted>
  <dcterms:modified xsi:type="dcterms:W3CDTF">2024-03-04T16:10:44Z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73E1C3B97111419EAC71641D6C0E48CB</vt:lpwstr>
  </property>
</Properties>
</file>